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8B19D">
      <w:pPr>
        <w:overflowPunct w:val="0"/>
        <w:snapToGrid w:val="0"/>
        <w:spacing w:line="540" w:lineRule="exact"/>
        <w:rPr>
          <w:rFonts w:ascii="Times New Roman" w:hAnsi="黑体" w:eastAsia="黑体" w:cs="黑体"/>
          <w:kern w:val="0"/>
          <w:sz w:val="32"/>
          <w:szCs w:val="32"/>
          <w:lang w:bidi="bo-CN"/>
        </w:rPr>
      </w:pPr>
      <w:bookmarkStart w:id="0" w:name="_GoBack"/>
      <w:bookmarkEnd w:id="0"/>
      <w:r>
        <w:rPr>
          <w:rFonts w:hint="eastAsia" w:ascii="Times New Roman" w:hAnsi="黑体" w:eastAsia="黑体" w:cs="黑体"/>
          <w:kern w:val="0"/>
          <w:sz w:val="32"/>
          <w:szCs w:val="32"/>
          <w:lang w:bidi="bo-CN"/>
        </w:rPr>
        <w:t>附件5</w:t>
      </w:r>
    </w:p>
    <w:p w14:paraId="33B2A8F5">
      <w:pPr>
        <w:overflowPunct w:val="0"/>
        <w:snapToGrid w:val="0"/>
        <w:spacing w:line="540" w:lineRule="exact"/>
        <w:rPr>
          <w:rFonts w:ascii="Times New Roman" w:hAnsi="黑体" w:eastAsia="黑体" w:cs="黑体"/>
          <w:kern w:val="0"/>
          <w:sz w:val="32"/>
          <w:szCs w:val="32"/>
          <w:lang w:bidi="bo-CN"/>
        </w:rPr>
      </w:pPr>
    </w:p>
    <w:p w14:paraId="3A49DF32">
      <w:pPr>
        <w:pStyle w:val="8"/>
        <w:overflowPunct w:val="0"/>
        <w:snapToGrid w:val="0"/>
        <w:spacing w:line="540" w:lineRule="exact"/>
        <w:ind w:left="0" w:leftChars="0"/>
        <w:rPr>
          <w:rFonts w:ascii="Times New Roman" w:hAnsi="Times New Roman" w:cs="Times New Roman"/>
          <w:spacing w:val="-11"/>
        </w:rPr>
      </w:pPr>
      <w:r>
        <w:rPr>
          <w:rFonts w:ascii="Times New Roman" w:hAnsi="Times New Roman" w:cs="Times New Roman"/>
          <w:spacing w:val="-11"/>
        </w:rPr>
        <w:t>语言文字</w:t>
      </w:r>
      <w:r>
        <w:rPr>
          <w:rFonts w:hint="eastAsia" w:ascii="Times New Roman" w:hAnsi="Times New Roman" w:cs="Times New Roman"/>
          <w:spacing w:val="-11"/>
        </w:rPr>
        <w:t>推广应用类学校认定办法</w:t>
      </w:r>
    </w:p>
    <w:p w14:paraId="2F579FBC">
      <w:pPr>
        <w:overflowPunct w:val="0"/>
        <w:adjustRightInd w:val="0"/>
        <w:snapToGrid w:val="0"/>
        <w:spacing w:line="540" w:lineRule="exact"/>
        <w:ind w:firstLine="640" w:firstLineChars="200"/>
        <w:rPr>
          <w:rFonts w:ascii="Times New Roman" w:hAnsi="Times New Roman" w:eastAsia="仿宋_GB2312" w:cs="Times New Roman"/>
          <w:color w:val="000000"/>
          <w:sz w:val="32"/>
          <w:szCs w:val="32"/>
        </w:rPr>
      </w:pPr>
    </w:p>
    <w:p w14:paraId="0D8ED062">
      <w:pPr>
        <w:overflowPunct w:val="0"/>
        <w:adjustRightInd w:val="0"/>
        <w:snapToGrid w:val="0"/>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开展语言文字推广应用类学校</w:t>
      </w:r>
      <w:r>
        <w:rPr>
          <w:rFonts w:hint="eastAsia" w:ascii="Times New Roman" w:hAnsi="Times New Roman" w:eastAsia="仿宋_GB2312" w:cs="Times New Roman"/>
          <w:color w:val="000000"/>
          <w:sz w:val="32"/>
          <w:szCs w:val="32"/>
        </w:rPr>
        <w:t>创建</w:t>
      </w:r>
      <w:r>
        <w:rPr>
          <w:rFonts w:ascii="Times New Roman" w:hAnsi="Times New Roman" w:eastAsia="仿宋_GB2312" w:cs="Times New Roman"/>
          <w:color w:val="000000"/>
          <w:sz w:val="32"/>
          <w:szCs w:val="32"/>
        </w:rPr>
        <w:t>工作，</w:t>
      </w:r>
      <w:r>
        <w:rPr>
          <w:rFonts w:hint="eastAsia" w:ascii="Times New Roman" w:hAnsi="Times New Roman" w:eastAsia="仿宋_GB2312" w:cs="Times New Roman"/>
          <w:color w:val="000000"/>
          <w:sz w:val="32"/>
          <w:szCs w:val="32"/>
        </w:rPr>
        <w:t>是落实习近平总书记关于语言文字工作重要指示批示精神的重要途径，是落实《教育强国建设规划纲要（2024—2035年）》语言文字工作内容的重要举措。</w:t>
      </w:r>
    </w:p>
    <w:p w14:paraId="05BE0A3D">
      <w:pPr>
        <w:overflowPunct w:val="0"/>
        <w:adjustRightInd w:val="0"/>
        <w:snapToGrid w:val="0"/>
        <w:spacing w:line="54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一、创建对象</w:t>
      </w:r>
    </w:p>
    <w:p w14:paraId="7860D5CC">
      <w:pPr>
        <w:overflowPunct w:val="0"/>
        <w:adjustRightInd w:val="0"/>
        <w:snapToGrid w:val="0"/>
        <w:spacing w:line="540" w:lineRule="exact"/>
        <w:ind w:firstLine="640" w:firstLineChars="200"/>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创建工作面向各级各类学校，以中小学为主（创建学校总量的80%以上）</w:t>
      </w:r>
      <w:r>
        <w:rPr>
          <w:rFonts w:hint="eastAsia" w:ascii="Times New Roman" w:hAnsi="Times New Roman" w:eastAsia="仿宋_GB2312" w:cs="Times New Roman"/>
          <w:color w:val="000000"/>
          <w:sz w:val="32"/>
          <w:szCs w:val="32"/>
        </w:rPr>
        <w:t>。</w:t>
      </w:r>
    </w:p>
    <w:p w14:paraId="1595F79F">
      <w:pPr>
        <w:overflowPunct w:val="0"/>
        <w:adjustRightInd w:val="0"/>
        <w:snapToGrid w:val="0"/>
        <w:spacing w:line="54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二、申报名额</w:t>
      </w:r>
    </w:p>
    <w:p w14:paraId="5C60F1EC">
      <w:pPr>
        <w:overflowPunct w:val="0"/>
        <w:adjustRightInd w:val="0"/>
        <w:snapToGrid w:val="0"/>
        <w:spacing w:line="5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sz w:val="32"/>
          <w:szCs w:val="32"/>
        </w:rPr>
        <w:t>创建名额</w:t>
      </w:r>
      <w:r>
        <w:rPr>
          <w:rFonts w:hint="eastAsia" w:ascii="Times New Roman" w:hAnsi="Times New Roman" w:eastAsia="仿宋_GB2312" w:cs="仿宋_GB2312"/>
          <w:sz w:val="32"/>
          <w:szCs w:val="32"/>
        </w:rPr>
        <w:t>以各省份大中小学校数量为基数，在统筹基础上向民族地区、高质量发展地区倾斜。采取差额推荐方式，各省份在定额基础上增加20%（向上取整）向教育部推荐，具体名额见附件7。</w:t>
      </w:r>
    </w:p>
    <w:p w14:paraId="46C74910">
      <w:pPr>
        <w:overflowPunct w:val="0"/>
        <w:adjustRightInd w:val="0"/>
        <w:snapToGrid w:val="0"/>
        <w:spacing w:line="54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三、创建要求</w:t>
      </w:r>
    </w:p>
    <w:p w14:paraId="065CFD0C">
      <w:pPr>
        <w:overflowPunct w:val="0"/>
        <w:adjustRightInd w:val="0"/>
        <w:snapToGrid w:val="0"/>
        <w:spacing w:line="540" w:lineRule="exact"/>
        <w:ind w:firstLine="640" w:firstLineChars="200"/>
        <w:rPr>
          <w:rFonts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rPr>
        <w:t>（一）聚焦核心任务。</w:t>
      </w:r>
      <w:r>
        <w:rPr>
          <w:rFonts w:hint="eastAsia" w:ascii="Times New Roman" w:hAnsi="Times New Roman" w:eastAsia="仿宋_GB2312" w:cs="Times New Roman"/>
          <w:color w:val="000000"/>
          <w:sz w:val="32"/>
          <w:szCs w:val="32"/>
        </w:rPr>
        <w:t>要</w:t>
      </w:r>
      <w:r>
        <w:rPr>
          <w:rFonts w:ascii="Times New Roman" w:hAnsi="Times New Roman" w:eastAsia="仿宋_GB2312" w:cs="Times New Roman"/>
          <w:color w:val="000000"/>
          <w:sz w:val="32"/>
          <w:szCs w:val="32"/>
        </w:rPr>
        <w:t>紧紧围绕落实立德树人根本任务、促进铸牢中华民族共同体意识，聚焦推广普及国家通用语言文字、传承发展中华优秀语言文化等重点任务，将语言文字工作融入教育教学全过程。</w:t>
      </w:r>
    </w:p>
    <w:p w14:paraId="70BDE422">
      <w:pPr>
        <w:overflowPunct w:val="0"/>
        <w:adjustRightInd w:val="0"/>
        <w:snapToGrid w:val="0"/>
        <w:spacing w:line="540" w:lineRule="exact"/>
        <w:ind w:firstLine="640" w:firstLineChars="200"/>
        <w:rPr>
          <w:rFonts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rPr>
        <w:t>（二）注重示范引领。</w:t>
      </w:r>
      <w:r>
        <w:rPr>
          <w:rFonts w:ascii="Times New Roman" w:hAnsi="Times New Roman" w:eastAsia="仿宋_GB2312" w:cs="Times New Roman"/>
          <w:color w:val="000000"/>
          <w:sz w:val="32"/>
          <w:szCs w:val="32"/>
        </w:rPr>
        <w:t>要发挥语言文字在教育教学、</w:t>
      </w:r>
      <w:r>
        <w:rPr>
          <w:rFonts w:hint="eastAsia" w:ascii="Times New Roman" w:hAnsi="Times New Roman" w:eastAsia="仿宋_GB2312" w:cs="Times New Roman"/>
          <w:color w:val="000000"/>
          <w:sz w:val="32"/>
          <w:szCs w:val="32"/>
        </w:rPr>
        <w:t>推广普及、</w:t>
      </w:r>
      <w:r>
        <w:rPr>
          <w:rFonts w:ascii="Times New Roman" w:hAnsi="Times New Roman" w:eastAsia="仿宋_GB2312" w:cs="Times New Roman"/>
          <w:color w:val="000000"/>
          <w:sz w:val="32"/>
          <w:szCs w:val="32"/>
        </w:rPr>
        <w:t>文化传承、</w:t>
      </w:r>
      <w:r>
        <w:rPr>
          <w:rFonts w:hint="eastAsia" w:ascii="Times New Roman" w:hAnsi="Times New Roman" w:eastAsia="仿宋_GB2312" w:cs="Times New Roman"/>
          <w:color w:val="000000"/>
          <w:sz w:val="32"/>
          <w:szCs w:val="32"/>
        </w:rPr>
        <w:t>合作交流等方面</w:t>
      </w:r>
      <w:r>
        <w:rPr>
          <w:rFonts w:ascii="Times New Roman" w:hAnsi="Times New Roman" w:eastAsia="仿宋_GB2312" w:cs="Times New Roman"/>
          <w:color w:val="000000"/>
          <w:sz w:val="32"/>
          <w:szCs w:val="32"/>
        </w:rPr>
        <w:t>的特殊作用，探索形成可复制、可推广、可借鉴的特色经验或有效模式，进一步夯实学校语言文字工作基础阵地。</w:t>
      </w:r>
    </w:p>
    <w:p w14:paraId="03724E08">
      <w:pPr>
        <w:overflowPunct w:val="0"/>
        <w:adjustRightInd w:val="0"/>
        <w:snapToGrid w:val="0"/>
        <w:spacing w:line="540" w:lineRule="exact"/>
        <w:ind w:firstLine="640" w:firstLineChars="200"/>
        <w:rPr>
          <w:rFonts w:ascii="Times New Roman" w:hAnsi="Times New Roman" w:eastAsia="仿宋_GB2312" w:cs="Times New Roman"/>
          <w:color w:val="000000"/>
          <w:sz w:val="32"/>
          <w:szCs w:val="32"/>
        </w:rPr>
      </w:pPr>
      <w:r>
        <w:rPr>
          <w:rFonts w:hint="eastAsia" w:ascii="楷体_GB2312" w:hAnsi="楷体_GB2312" w:eastAsia="楷体_GB2312" w:cs="楷体_GB2312"/>
          <w:color w:val="000000"/>
          <w:sz w:val="32"/>
          <w:szCs w:val="32"/>
        </w:rPr>
        <w:t>（三）强化基础支撑。</w:t>
      </w:r>
      <w:r>
        <w:rPr>
          <w:rFonts w:ascii="Times New Roman" w:hAnsi="Times New Roman" w:eastAsia="仿宋_GB2312" w:cs="Times New Roman"/>
          <w:color w:val="000000"/>
          <w:sz w:val="32"/>
          <w:szCs w:val="32"/>
        </w:rPr>
        <w:t>各级教育行政部门要充分认识语言文字工作的重要意义，强化组织领导，建立长效工作机制，在政策、经费、项目等方面给予支持，为学校语言文字工作创造条件。要推动示范性特色学校形成具有显著影响的实践经验和制度成果，整体提升区域学校语言文字工作质量。</w:t>
      </w:r>
    </w:p>
    <w:p w14:paraId="62B13DB8">
      <w:pPr>
        <w:overflowPunct w:val="0"/>
        <w:adjustRightInd w:val="0"/>
        <w:snapToGrid w:val="0"/>
        <w:spacing w:line="540" w:lineRule="exact"/>
        <w:ind w:firstLine="640" w:firstLineChars="200"/>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创建工作</w:t>
      </w:r>
      <w:r>
        <w:rPr>
          <w:rFonts w:ascii="Times New Roman" w:hAnsi="Times New Roman" w:eastAsia="仿宋_GB2312" w:cs="Times New Roman"/>
          <w:color w:val="000000"/>
          <w:sz w:val="32"/>
          <w:szCs w:val="32"/>
        </w:rPr>
        <w:t>按照《语言文字推广应用类学校创建指南》（附</w:t>
      </w:r>
      <w:r>
        <w:rPr>
          <w:rFonts w:hint="eastAsia" w:ascii="Times New Roman" w:hAnsi="Times New Roman" w:eastAsia="仿宋_GB2312" w:cs="Times New Roman"/>
          <w:color w:val="000000"/>
          <w:sz w:val="32"/>
          <w:szCs w:val="32"/>
        </w:rPr>
        <w:t>表</w:t>
      </w:r>
      <w:r>
        <w:rPr>
          <w:rFonts w:ascii="Times New Roman" w:hAnsi="Times New Roman" w:eastAsia="仿宋_GB2312" w:cs="Times New Roman"/>
          <w:color w:val="000000"/>
          <w:sz w:val="32"/>
          <w:szCs w:val="32"/>
        </w:rPr>
        <w:t>）执行。参与创建的学校须在符合创建指南</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基本要求</w:t>
      </w:r>
      <w:r>
        <w:rPr>
          <w:rFonts w:hint="eastAsia" w:ascii="Times New Roman" w:hAnsi="Times New Roman" w:eastAsia="仿宋_GB2312" w:cs="Times New Roman"/>
          <w:color w:val="000000"/>
          <w:sz w:val="32"/>
          <w:szCs w:val="32"/>
        </w:rPr>
        <w:t>”</w:t>
      </w:r>
      <w:r>
        <w:rPr>
          <w:rFonts w:ascii="Times New Roman" w:hAnsi="Times New Roman" w:eastAsia="仿宋_GB2312" w:cs="Times New Roman"/>
          <w:color w:val="000000"/>
          <w:sz w:val="32"/>
          <w:szCs w:val="32"/>
        </w:rPr>
        <w:t>的基础上，在其他一个或几个方面有显著特色和突出成效。</w:t>
      </w:r>
    </w:p>
    <w:p w14:paraId="6A181540">
      <w:pPr>
        <w:widowControl/>
        <w:jc w:val="left"/>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br w:type="page"/>
      </w:r>
    </w:p>
    <w:p w14:paraId="533CA558">
      <w:pPr>
        <w:spacing w:after="156" w:afterLines="50" w:line="560" w:lineRule="exact"/>
        <w:rPr>
          <w:rFonts w:ascii="黑体" w:hAnsi="黑体" w:eastAsia="黑体" w:cs="黑体"/>
          <w:sz w:val="32"/>
          <w:szCs w:val="32"/>
        </w:rPr>
      </w:pPr>
      <w:r>
        <w:rPr>
          <w:rFonts w:hint="eastAsia" w:ascii="黑体" w:hAnsi="黑体" w:eastAsia="黑体" w:cs="黑体"/>
          <w:sz w:val="32"/>
          <w:szCs w:val="32"/>
        </w:rPr>
        <w:t>附</w:t>
      </w:r>
      <w:r>
        <w:rPr>
          <w:rFonts w:hint="eastAsia" w:ascii="Times New Roman" w:hAnsi="Times New Roman" w:eastAsia="黑体" w:cs="Times New Roman"/>
          <w:sz w:val="32"/>
          <w:szCs w:val="32"/>
        </w:rPr>
        <w:t>表</w:t>
      </w:r>
    </w:p>
    <w:p w14:paraId="0F818188">
      <w:pPr>
        <w:snapToGrid w:val="0"/>
        <w:spacing w:before="312" w:beforeLines="100" w:after="312" w:afterLines="100"/>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语言文字推广应用类学校创建指南</w:t>
      </w:r>
    </w:p>
    <w:tbl>
      <w:tblPr>
        <w:tblStyle w:val="10"/>
        <w:tblW w:w="9828"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16"/>
        <w:gridCol w:w="1928"/>
        <w:gridCol w:w="5984"/>
      </w:tblGrid>
      <w:tr w14:paraId="5BA356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1916" w:type="dxa"/>
            <w:tcBorders>
              <w:tl2br w:val="nil"/>
              <w:tr2bl w:val="nil"/>
            </w:tcBorders>
            <w:shd w:val="clear" w:color="auto" w:fill="auto"/>
            <w:vAlign w:val="center"/>
          </w:tcPr>
          <w:p w14:paraId="15A59D61">
            <w:pPr>
              <w:widowControl/>
              <w:spacing w:line="42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重点领域</w:t>
            </w:r>
          </w:p>
        </w:tc>
        <w:tc>
          <w:tcPr>
            <w:tcW w:w="1928" w:type="dxa"/>
            <w:tcBorders>
              <w:tl2br w:val="nil"/>
              <w:tr2bl w:val="nil"/>
            </w:tcBorders>
            <w:shd w:val="clear" w:color="auto" w:fill="auto"/>
            <w:vAlign w:val="center"/>
          </w:tcPr>
          <w:p w14:paraId="3A1B5252">
            <w:pPr>
              <w:widowControl/>
              <w:spacing w:line="42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主要方面</w:t>
            </w:r>
          </w:p>
        </w:tc>
        <w:tc>
          <w:tcPr>
            <w:tcW w:w="5984" w:type="dxa"/>
            <w:tcBorders>
              <w:tl2br w:val="nil"/>
              <w:tr2bl w:val="nil"/>
            </w:tcBorders>
            <w:shd w:val="clear" w:color="auto" w:fill="auto"/>
            <w:vAlign w:val="center"/>
          </w:tcPr>
          <w:p w14:paraId="296A53F6">
            <w:pPr>
              <w:widowControl/>
              <w:spacing w:line="42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特色要求</w:t>
            </w:r>
          </w:p>
        </w:tc>
      </w:tr>
      <w:tr w14:paraId="58495E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440" w:hRule="atLeast"/>
          <w:jc w:val="center"/>
        </w:trPr>
        <w:tc>
          <w:tcPr>
            <w:tcW w:w="1916" w:type="dxa"/>
            <w:vMerge w:val="restart"/>
            <w:tcBorders>
              <w:tl2br w:val="nil"/>
              <w:tr2bl w:val="nil"/>
            </w:tcBorders>
            <w:shd w:val="clear" w:color="auto" w:fill="auto"/>
            <w:vAlign w:val="center"/>
          </w:tcPr>
          <w:p w14:paraId="69A13A50">
            <w:pPr>
              <w:widowControl/>
              <w:spacing w:line="420" w:lineRule="exact"/>
              <w:rPr>
                <w:rFonts w:ascii="Times New Roman" w:hAnsi="Times New Roman" w:eastAsia="仿宋_GB2312" w:cs="Times New Roman"/>
                <w:bCs/>
                <w:color w:val="000000"/>
                <w:sz w:val="28"/>
                <w:szCs w:val="28"/>
              </w:rPr>
            </w:pPr>
            <w:r>
              <w:rPr>
                <w:rFonts w:ascii="Times New Roman" w:hAnsi="Times New Roman" w:eastAsia="黑体" w:cs="Times New Roman"/>
                <w:bCs/>
                <w:color w:val="000000"/>
                <w:sz w:val="28"/>
                <w:szCs w:val="28"/>
              </w:rPr>
              <w:t>一、基本要求</w:t>
            </w:r>
          </w:p>
        </w:tc>
        <w:tc>
          <w:tcPr>
            <w:tcW w:w="1928" w:type="dxa"/>
            <w:tcBorders>
              <w:tl2br w:val="nil"/>
              <w:tr2bl w:val="nil"/>
            </w:tcBorders>
            <w:shd w:val="clear" w:color="auto" w:fill="auto"/>
            <w:vAlign w:val="center"/>
          </w:tcPr>
          <w:p w14:paraId="42F1CA44">
            <w:pPr>
              <w:widowControl/>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1.1制度机制</w:t>
            </w:r>
          </w:p>
        </w:tc>
        <w:tc>
          <w:tcPr>
            <w:tcW w:w="5984" w:type="dxa"/>
            <w:tcBorders>
              <w:tl2br w:val="nil"/>
              <w:tr2bl w:val="nil"/>
            </w:tcBorders>
            <w:shd w:val="clear" w:color="auto" w:fill="auto"/>
            <w:vAlign w:val="center"/>
          </w:tcPr>
          <w:p w14:paraId="1F3EECB0">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语言文字工作规章制度健全，在学校发展规划和年度计划、总结中有相关内容，有专门的工作经费。高校有专门的语言文字工作机构</w:t>
            </w:r>
          </w:p>
        </w:tc>
      </w:tr>
      <w:tr w14:paraId="0FF387E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90" w:hRule="atLeast"/>
          <w:jc w:val="center"/>
        </w:trPr>
        <w:tc>
          <w:tcPr>
            <w:tcW w:w="1916" w:type="dxa"/>
            <w:vMerge w:val="continue"/>
            <w:tcBorders>
              <w:tl2br w:val="nil"/>
              <w:tr2bl w:val="nil"/>
            </w:tcBorders>
            <w:shd w:val="clear" w:color="auto" w:fill="auto"/>
            <w:vAlign w:val="center"/>
          </w:tcPr>
          <w:p w14:paraId="08B8D663">
            <w:pPr>
              <w:widowControl/>
              <w:spacing w:line="420" w:lineRule="exact"/>
              <w:rPr>
                <w:rFonts w:ascii="Times New Roman" w:hAnsi="Times New Roman" w:eastAsia="仿宋_GB2312" w:cs="Times New Roman"/>
                <w:bCs/>
                <w:color w:val="000000"/>
                <w:sz w:val="28"/>
                <w:szCs w:val="28"/>
              </w:rPr>
            </w:pPr>
          </w:p>
        </w:tc>
        <w:tc>
          <w:tcPr>
            <w:tcW w:w="1928" w:type="dxa"/>
            <w:tcBorders>
              <w:tl2br w:val="nil"/>
              <w:tr2bl w:val="nil"/>
            </w:tcBorders>
            <w:shd w:val="clear" w:color="auto" w:fill="auto"/>
            <w:vAlign w:val="center"/>
          </w:tcPr>
          <w:p w14:paraId="283CD40B">
            <w:pPr>
              <w:widowControl/>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1.2规范达标</w:t>
            </w:r>
          </w:p>
        </w:tc>
        <w:tc>
          <w:tcPr>
            <w:tcW w:w="5984" w:type="dxa"/>
            <w:tcBorders>
              <w:tl2br w:val="nil"/>
              <w:tr2bl w:val="nil"/>
            </w:tcBorders>
            <w:shd w:val="clear" w:color="auto" w:fill="auto"/>
            <w:vAlign w:val="center"/>
          </w:tcPr>
          <w:p w14:paraId="655CE864">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语言文字规范化要求纳入学校、教师、学生管理和教育教学、评估评价、培训提升等各环节。以国家通用语言文字为基本教育教学用语用字，教师和行政管理人员熟悉语言文字政策法规，教师普通话水平达标</w:t>
            </w:r>
          </w:p>
        </w:tc>
      </w:tr>
      <w:tr w14:paraId="2EC6AC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5" w:hRule="atLeast"/>
          <w:jc w:val="center"/>
        </w:trPr>
        <w:tc>
          <w:tcPr>
            <w:tcW w:w="1916" w:type="dxa"/>
            <w:vMerge w:val="continue"/>
            <w:tcBorders>
              <w:tl2br w:val="nil"/>
              <w:tr2bl w:val="nil"/>
            </w:tcBorders>
            <w:shd w:val="clear" w:color="auto" w:fill="auto"/>
            <w:vAlign w:val="center"/>
          </w:tcPr>
          <w:p w14:paraId="3E09CFC7">
            <w:pPr>
              <w:widowControl/>
              <w:spacing w:line="420" w:lineRule="exact"/>
              <w:rPr>
                <w:rFonts w:ascii="Times New Roman" w:hAnsi="Times New Roman" w:eastAsia="仿宋_GB2312" w:cs="Times New Roman"/>
                <w:bCs/>
                <w:color w:val="000000"/>
                <w:sz w:val="28"/>
                <w:szCs w:val="28"/>
              </w:rPr>
            </w:pPr>
          </w:p>
        </w:tc>
        <w:tc>
          <w:tcPr>
            <w:tcW w:w="1928" w:type="dxa"/>
            <w:tcBorders>
              <w:tl2br w:val="nil"/>
              <w:tr2bl w:val="nil"/>
            </w:tcBorders>
            <w:shd w:val="clear" w:color="auto" w:fill="auto"/>
            <w:vAlign w:val="center"/>
          </w:tcPr>
          <w:p w14:paraId="181F09B1">
            <w:pPr>
              <w:widowControl/>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1.3校园环境</w:t>
            </w:r>
          </w:p>
        </w:tc>
        <w:tc>
          <w:tcPr>
            <w:tcW w:w="5984" w:type="dxa"/>
            <w:tcBorders>
              <w:tl2br w:val="nil"/>
              <w:tr2bl w:val="nil"/>
            </w:tcBorders>
            <w:shd w:val="clear" w:color="auto" w:fill="auto"/>
            <w:vAlign w:val="center"/>
          </w:tcPr>
          <w:p w14:paraId="6B71390C">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注重</w:t>
            </w:r>
            <w:r>
              <w:rPr>
                <w:rFonts w:ascii="Times New Roman" w:hAnsi="Times New Roman" w:eastAsia="仿宋_GB2312" w:cs="Times New Roman"/>
                <w:sz w:val="28"/>
                <w:szCs w:val="28"/>
                <w:lang w:bidi="ar"/>
              </w:rPr>
              <w:t>校园语言文化环境建设</w:t>
            </w:r>
            <w:r>
              <w:rPr>
                <w:rFonts w:ascii="Times New Roman" w:hAnsi="Times New Roman" w:eastAsia="仿宋_GB2312" w:cs="Times New Roman"/>
                <w:color w:val="000000"/>
                <w:sz w:val="28"/>
                <w:szCs w:val="28"/>
              </w:rPr>
              <w:t>，校内公文、媒体宣传以及校园环境等用语用字符合规范</w:t>
            </w:r>
          </w:p>
        </w:tc>
      </w:tr>
      <w:tr w14:paraId="1974CC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01" w:hRule="atLeast"/>
          <w:jc w:val="center"/>
        </w:trPr>
        <w:tc>
          <w:tcPr>
            <w:tcW w:w="1916" w:type="dxa"/>
            <w:vMerge w:val="restart"/>
            <w:tcBorders>
              <w:tl2br w:val="nil"/>
              <w:tr2bl w:val="nil"/>
            </w:tcBorders>
            <w:shd w:val="clear" w:color="auto" w:fill="auto"/>
            <w:vAlign w:val="center"/>
          </w:tcPr>
          <w:p w14:paraId="38EF9EFA">
            <w:pPr>
              <w:spacing w:line="420" w:lineRule="exact"/>
              <w:rPr>
                <w:rFonts w:ascii="Times New Roman" w:hAnsi="Times New Roman" w:eastAsia="仿宋_GB2312" w:cs="Times New Roman"/>
                <w:color w:val="000000"/>
                <w:sz w:val="28"/>
                <w:szCs w:val="28"/>
              </w:rPr>
            </w:pPr>
          </w:p>
          <w:p w14:paraId="024995DA">
            <w:pPr>
              <w:spacing w:line="420" w:lineRule="exact"/>
              <w:rPr>
                <w:rFonts w:ascii="Times New Roman" w:hAnsi="Times New Roman" w:eastAsia="黑体" w:cs="Times New Roman"/>
                <w:color w:val="000000"/>
                <w:sz w:val="28"/>
                <w:szCs w:val="28"/>
              </w:rPr>
            </w:pPr>
            <w:r>
              <w:rPr>
                <w:rFonts w:ascii="Times New Roman" w:hAnsi="Times New Roman" w:eastAsia="黑体" w:cs="Times New Roman"/>
                <w:bCs/>
                <w:color w:val="000000"/>
                <w:sz w:val="28"/>
                <w:szCs w:val="28"/>
              </w:rPr>
              <w:t>二、教育教学</w:t>
            </w:r>
          </w:p>
        </w:tc>
        <w:tc>
          <w:tcPr>
            <w:tcW w:w="1928" w:type="dxa"/>
            <w:tcBorders>
              <w:tl2br w:val="nil"/>
              <w:tr2bl w:val="nil"/>
            </w:tcBorders>
            <w:shd w:val="clear" w:color="auto" w:fill="auto"/>
            <w:vAlign w:val="center"/>
          </w:tcPr>
          <w:p w14:paraId="449A5DED">
            <w:pPr>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2.1教育成效</w:t>
            </w:r>
          </w:p>
        </w:tc>
        <w:tc>
          <w:tcPr>
            <w:tcW w:w="5984" w:type="dxa"/>
            <w:tcBorders>
              <w:tl2br w:val="nil"/>
              <w:tr2bl w:val="nil"/>
            </w:tcBorders>
            <w:shd w:val="clear" w:color="auto" w:fill="auto"/>
            <w:vAlign w:val="center"/>
          </w:tcPr>
          <w:p w14:paraId="49AAD75F">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语言文字在服务立德树人根本任务、促进铸牢中华民族共同体意识等方面作用发挥明显。国家通用语言文字教育教学课程体系完善、语言文化育人成效显著。各学科教学都重视语言文字规范意识培养，学生普通话水平较高，语言文字综合应用能力强</w:t>
            </w:r>
          </w:p>
        </w:tc>
      </w:tr>
      <w:tr w14:paraId="0F1978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211" w:hRule="atLeast"/>
          <w:jc w:val="center"/>
        </w:trPr>
        <w:tc>
          <w:tcPr>
            <w:tcW w:w="1916" w:type="dxa"/>
            <w:vMerge w:val="continue"/>
            <w:tcBorders>
              <w:tl2br w:val="nil"/>
              <w:tr2bl w:val="nil"/>
            </w:tcBorders>
            <w:shd w:val="clear" w:color="auto" w:fill="auto"/>
            <w:vAlign w:val="center"/>
          </w:tcPr>
          <w:p w14:paraId="1481D31D">
            <w:pPr>
              <w:spacing w:line="420" w:lineRule="exact"/>
              <w:rPr>
                <w:rFonts w:ascii="Times New Roman" w:hAnsi="Times New Roman" w:eastAsia="仿宋_GB2312" w:cs="Times New Roman"/>
                <w:color w:val="000000"/>
                <w:sz w:val="28"/>
                <w:szCs w:val="28"/>
              </w:rPr>
            </w:pPr>
          </w:p>
        </w:tc>
        <w:tc>
          <w:tcPr>
            <w:tcW w:w="1928" w:type="dxa"/>
            <w:tcBorders>
              <w:tl2br w:val="nil"/>
              <w:tr2bl w:val="nil"/>
            </w:tcBorders>
            <w:shd w:val="clear" w:color="auto" w:fill="auto"/>
            <w:vAlign w:val="center"/>
          </w:tcPr>
          <w:p w14:paraId="0B651EF3">
            <w:pPr>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2.2教学教研</w:t>
            </w:r>
          </w:p>
        </w:tc>
        <w:tc>
          <w:tcPr>
            <w:tcW w:w="5984" w:type="dxa"/>
            <w:tcBorders>
              <w:tl2br w:val="nil"/>
              <w:tr2bl w:val="nil"/>
            </w:tcBorders>
            <w:shd w:val="clear" w:color="auto" w:fill="auto"/>
            <w:vAlign w:val="center"/>
          </w:tcPr>
          <w:p w14:paraId="6FAE36A1">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深入开展“典耀中华”主题读书行动。开展</w:t>
            </w:r>
            <w:r>
              <w:rPr>
                <w:rFonts w:ascii="Times New Roman" w:hAnsi="Times New Roman" w:eastAsia="仿宋_GB2312" w:cs="Times New Roman"/>
                <w:color w:val="000000"/>
                <w:sz w:val="28"/>
                <w:szCs w:val="28"/>
                <w:lang w:bidi="ar"/>
              </w:rPr>
              <w:t>语言文明教育，引导学生养成良好语言习惯。</w:t>
            </w:r>
            <w:r>
              <w:rPr>
                <w:rFonts w:ascii="Times New Roman" w:hAnsi="Times New Roman" w:eastAsia="仿宋_GB2312" w:cs="Times New Roman"/>
                <w:color w:val="000000"/>
                <w:sz w:val="28"/>
                <w:szCs w:val="28"/>
              </w:rPr>
              <w:t>中小学进一步加强规范汉字书写教育，引导学生掌握正确书写技能，提高书写水平。</w:t>
            </w:r>
            <w:r>
              <w:rPr>
                <w:rFonts w:ascii="Times New Roman" w:hAnsi="Times New Roman" w:eastAsia="仿宋_GB2312" w:cs="Times New Roman"/>
                <w:color w:val="000000"/>
                <w:sz w:val="28"/>
                <w:szCs w:val="28"/>
                <w:lang w:bidi="ar"/>
              </w:rPr>
              <w:t>高校</w:t>
            </w:r>
            <w:r>
              <w:rPr>
                <w:rFonts w:ascii="Times New Roman" w:hAnsi="Times New Roman" w:eastAsia="仿宋_GB2312" w:cs="Times New Roman"/>
                <w:color w:val="000000"/>
                <w:sz w:val="28"/>
                <w:szCs w:val="28"/>
              </w:rPr>
              <w:t>将大学语文纳入公共基础课或必修课，开展语言文字理论、政策研究及重大实践探索，推动语言文字与人工智能等相关学科的深度融合</w:t>
            </w:r>
          </w:p>
        </w:tc>
      </w:tr>
      <w:tr w14:paraId="2F9AE7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1916" w:type="dxa"/>
            <w:tcBorders>
              <w:tl2br w:val="nil"/>
              <w:tr2bl w:val="nil"/>
            </w:tcBorders>
            <w:shd w:val="clear" w:color="auto" w:fill="auto"/>
            <w:vAlign w:val="center"/>
          </w:tcPr>
          <w:p w14:paraId="27F7A802">
            <w:pPr>
              <w:widowControl/>
              <w:spacing w:line="42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重点领域</w:t>
            </w:r>
          </w:p>
        </w:tc>
        <w:tc>
          <w:tcPr>
            <w:tcW w:w="1928" w:type="dxa"/>
            <w:tcBorders>
              <w:tl2br w:val="nil"/>
              <w:tr2bl w:val="nil"/>
            </w:tcBorders>
            <w:shd w:val="clear" w:color="auto" w:fill="auto"/>
            <w:vAlign w:val="center"/>
          </w:tcPr>
          <w:p w14:paraId="1F3A6B05">
            <w:pPr>
              <w:widowControl/>
              <w:spacing w:line="42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主要方面</w:t>
            </w:r>
          </w:p>
        </w:tc>
        <w:tc>
          <w:tcPr>
            <w:tcW w:w="5984" w:type="dxa"/>
            <w:tcBorders>
              <w:tl2br w:val="nil"/>
              <w:tr2bl w:val="nil"/>
            </w:tcBorders>
            <w:shd w:val="clear" w:color="auto" w:fill="auto"/>
            <w:vAlign w:val="center"/>
          </w:tcPr>
          <w:p w14:paraId="6B48EC2F">
            <w:pPr>
              <w:widowControl/>
              <w:spacing w:line="420" w:lineRule="exact"/>
              <w:jc w:val="center"/>
              <w:rPr>
                <w:rFonts w:ascii="Times New Roman" w:hAnsi="Times New Roman" w:eastAsia="黑体" w:cs="Times New Roman"/>
                <w:bCs/>
                <w:sz w:val="28"/>
                <w:szCs w:val="28"/>
              </w:rPr>
            </w:pPr>
            <w:r>
              <w:rPr>
                <w:rFonts w:ascii="Times New Roman" w:hAnsi="Times New Roman" w:eastAsia="黑体" w:cs="Times New Roman"/>
                <w:bCs/>
                <w:sz w:val="28"/>
                <w:szCs w:val="28"/>
              </w:rPr>
              <w:t>特色要求</w:t>
            </w:r>
          </w:p>
        </w:tc>
      </w:tr>
      <w:tr w14:paraId="1A6703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15" w:hRule="atLeast"/>
          <w:jc w:val="center"/>
        </w:trPr>
        <w:tc>
          <w:tcPr>
            <w:tcW w:w="1916" w:type="dxa"/>
            <w:vMerge w:val="restart"/>
            <w:tcBorders>
              <w:tl2br w:val="nil"/>
              <w:tr2bl w:val="nil"/>
            </w:tcBorders>
            <w:shd w:val="clear" w:color="auto" w:fill="auto"/>
            <w:vAlign w:val="center"/>
          </w:tcPr>
          <w:p w14:paraId="088DA216">
            <w:pPr>
              <w:spacing w:line="420" w:lineRule="exact"/>
              <w:rPr>
                <w:rFonts w:ascii="Times New Roman" w:hAnsi="Times New Roman" w:eastAsia="黑体" w:cs="Times New Roman"/>
                <w:color w:val="000000"/>
                <w:sz w:val="28"/>
                <w:szCs w:val="28"/>
              </w:rPr>
            </w:pPr>
            <w:r>
              <w:rPr>
                <w:rFonts w:ascii="Times New Roman" w:hAnsi="Times New Roman" w:eastAsia="黑体" w:cs="Times New Roman"/>
                <w:bCs/>
                <w:color w:val="000000"/>
                <w:sz w:val="28"/>
                <w:szCs w:val="28"/>
              </w:rPr>
              <w:t>三、推广普及</w:t>
            </w:r>
          </w:p>
        </w:tc>
        <w:tc>
          <w:tcPr>
            <w:tcW w:w="1928" w:type="dxa"/>
            <w:tcBorders>
              <w:tl2br w:val="nil"/>
              <w:tr2bl w:val="nil"/>
            </w:tcBorders>
            <w:shd w:val="clear" w:color="auto" w:fill="auto"/>
            <w:vAlign w:val="center"/>
          </w:tcPr>
          <w:p w14:paraId="674F77B2">
            <w:pPr>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3.1宣传推广</w:t>
            </w:r>
          </w:p>
        </w:tc>
        <w:tc>
          <w:tcPr>
            <w:tcW w:w="5984" w:type="dxa"/>
            <w:tcBorders>
              <w:tl2br w:val="nil"/>
              <w:tr2bl w:val="nil"/>
            </w:tcBorders>
            <w:shd w:val="clear" w:color="auto" w:fill="auto"/>
            <w:vAlign w:val="center"/>
          </w:tcPr>
          <w:p w14:paraId="2A7AC802">
            <w:pPr>
              <w:widowControl/>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lang w:bidi="ar"/>
              </w:rPr>
              <w:t>发挥学校对教育系统和社会的辐射带动作用，充分利用世界读书日、全国推广普通话宣传周等平台，采取传统媒体和新媒体相结合的方式，开展国家通用语言文字知识普及和政策宣传，有经常性的语言文字宣传阵地</w:t>
            </w:r>
          </w:p>
        </w:tc>
      </w:tr>
      <w:tr w14:paraId="57EB6B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340" w:hRule="atLeast"/>
          <w:jc w:val="center"/>
        </w:trPr>
        <w:tc>
          <w:tcPr>
            <w:tcW w:w="1916" w:type="dxa"/>
            <w:vMerge w:val="continue"/>
            <w:tcBorders>
              <w:tl2br w:val="nil"/>
              <w:tr2bl w:val="nil"/>
            </w:tcBorders>
            <w:shd w:val="clear" w:color="auto" w:fill="auto"/>
            <w:vAlign w:val="center"/>
          </w:tcPr>
          <w:p w14:paraId="2D107F1D">
            <w:pPr>
              <w:spacing w:line="420" w:lineRule="exact"/>
              <w:rPr>
                <w:rFonts w:ascii="Times New Roman" w:hAnsi="Times New Roman" w:eastAsia="仿宋_GB2312" w:cs="Times New Roman"/>
                <w:color w:val="000000"/>
                <w:sz w:val="28"/>
                <w:szCs w:val="28"/>
              </w:rPr>
            </w:pPr>
          </w:p>
        </w:tc>
        <w:tc>
          <w:tcPr>
            <w:tcW w:w="1928" w:type="dxa"/>
            <w:tcBorders>
              <w:tl2br w:val="nil"/>
              <w:tr2bl w:val="nil"/>
            </w:tcBorders>
            <w:shd w:val="clear" w:color="auto" w:fill="auto"/>
            <w:vAlign w:val="center"/>
          </w:tcPr>
          <w:p w14:paraId="0265D7CF">
            <w:pPr>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3.2培训服务</w:t>
            </w:r>
          </w:p>
        </w:tc>
        <w:tc>
          <w:tcPr>
            <w:tcW w:w="5984" w:type="dxa"/>
            <w:tcBorders>
              <w:tl2br w:val="nil"/>
              <w:tr2bl w:val="nil"/>
            </w:tcBorders>
            <w:shd w:val="clear" w:color="auto" w:fill="auto"/>
            <w:vAlign w:val="center"/>
          </w:tcPr>
          <w:p w14:paraId="7F025CC0">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sz w:val="28"/>
                <w:szCs w:val="28"/>
                <w:lang w:bidi="ar"/>
              </w:rPr>
              <w:t>积</w:t>
            </w:r>
            <w:r>
              <w:rPr>
                <w:rFonts w:ascii="Times New Roman" w:hAnsi="Times New Roman" w:eastAsia="仿宋_GB2312" w:cs="Times New Roman"/>
                <w:color w:val="000000"/>
                <w:sz w:val="28"/>
                <w:szCs w:val="28"/>
                <w:lang w:bidi="ar"/>
              </w:rPr>
              <w:t>极参与</w:t>
            </w:r>
            <w:r>
              <w:rPr>
                <w:rFonts w:ascii="Times New Roman" w:hAnsi="Times New Roman" w:eastAsia="仿宋_GB2312" w:cs="Times New Roman"/>
                <w:color w:val="000000"/>
                <w:sz w:val="28"/>
                <w:szCs w:val="28"/>
              </w:rPr>
              <w:t>国家通用语言文字普及攻坚和质量提升行动。加强</w:t>
            </w:r>
            <w:r>
              <w:rPr>
                <w:rFonts w:ascii="Times New Roman" w:hAnsi="Times New Roman" w:eastAsia="仿宋_GB2312" w:cs="Times New Roman"/>
                <w:color w:val="000000"/>
                <w:sz w:val="28"/>
                <w:szCs w:val="28"/>
                <w:lang w:bidi="ar"/>
              </w:rPr>
              <w:t>校家社协同育人，通过结对帮扶、志愿服务、</w:t>
            </w:r>
            <w:r>
              <w:rPr>
                <w:rFonts w:hint="eastAsia" w:ascii="仿宋_GB2312" w:hAnsi="仿宋_GB2312" w:eastAsia="仿宋_GB2312" w:cs="仿宋_GB2312"/>
                <w:color w:val="000000"/>
                <w:sz w:val="28"/>
                <w:szCs w:val="28"/>
                <w:lang w:bidi="ar"/>
              </w:rPr>
              <w:t>“小手拉大手”</w:t>
            </w:r>
            <w:r>
              <w:rPr>
                <w:rFonts w:ascii="Times New Roman" w:hAnsi="Times New Roman" w:eastAsia="仿宋_GB2312" w:cs="Times New Roman"/>
                <w:color w:val="000000"/>
                <w:sz w:val="28"/>
                <w:szCs w:val="28"/>
                <w:lang w:bidi="ar"/>
              </w:rPr>
              <w:t>等方式，面向农村和民族地区教师、青壮年劳动力、基层干部等重点领域人群，高质量开展国家通用语言文字能力提升、</w:t>
            </w:r>
            <w:r>
              <w:rPr>
                <w:rFonts w:hint="eastAsia" w:ascii="仿宋_GB2312" w:hAnsi="仿宋_GB2312" w:eastAsia="仿宋_GB2312" w:cs="仿宋_GB2312"/>
                <w:color w:val="000000"/>
                <w:sz w:val="28"/>
                <w:szCs w:val="28"/>
                <w:lang w:bidi="ar"/>
              </w:rPr>
              <w:t>“普通话+职业技能”</w:t>
            </w:r>
            <w:r>
              <w:rPr>
                <w:rFonts w:ascii="Times New Roman" w:hAnsi="Times New Roman" w:eastAsia="仿宋_GB2312" w:cs="Times New Roman"/>
                <w:color w:val="000000"/>
                <w:sz w:val="28"/>
                <w:szCs w:val="28"/>
                <w:lang w:bidi="ar"/>
              </w:rPr>
              <w:t>等培训。高校要在服务地方经济社会发展需要，赋能乡村振兴中作用发挥明显</w:t>
            </w:r>
          </w:p>
        </w:tc>
      </w:tr>
      <w:tr w14:paraId="36084CB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65" w:hRule="atLeast"/>
          <w:jc w:val="center"/>
        </w:trPr>
        <w:tc>
          <w:tcPr>
            <w:tcW w:w="1916" w:type="dxa"/>
            <w:vMerge w:val="restart"/>
            <w:tcBorders>
              <w:tl2br w:val="nil"/>
              <w:tr2bl w:val="nil"/>
            </w:tcBorders>
            <w:shd w:val="clear" w:color="auto" w:fill="auto"/>
            <w:vAlign w:val="center"/>
          </w:tcPr>
          <w:p w14:paraId="426E321F">
            <w:pPr>
              <w:numPr>
                <w:ilvl w:val="255"/>
                <w:numId w:val="0"/>
              </w:numPr>
              <w:spacing w:line="420" w:lineRule="exact"/>
              <w:rPr>
                <w:rFonts w:ascii="Times New Roman" w:hAnsi="Times New Roman" w:eastAsia="仿宋_GB2312" w:cs="Times New Roman"/>
                <w:color w:val="000000"/>
                <w:sz w:val="28"/>
                <w:szCs w:val="28"/>
              </w:rPr>
            </w:pPr>
            <w:r>
              <w:rPr>
                <w:rFonts w:ascii="Times New Roman" w:hAnsi="Times New Roman" w:eastAsia="黑体" w:cs="Times New Roman"/>
                <w:bCs/>
                <w:color w:val="000000"/>
                <w:sz w:val="28"/>
                <w:szCs w:val="28"/>
              </w:rPr>
              <w:t>四、文化传承</w:t>
            </w:r>
          </w:p>
        </w:tc>
        <w:tc>
          <w:tcPr>
            <w:tcW w:w="1928" w:type="dxa"/>
            <w:tcBorders>
              <w:tl2br w:val="nil"/>
              <w:tr2bl w:val="nil"/>
            </w:tcBorders>
            <w:shd w:val="clear" w:color="auto" w:fill="auto"/>
            <w:vAlign w:val="center"/>
          </w:tcPr>
          <w:p w14:paraId="05DECC40">
            <w:pPr>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4.1学习探究</w:t>
            </w:r>
          </w:p>
        </w:tc>
        <w:tc>
          <w:tcPr>
            <w:tcW w:w="5984" w:type="dxa"/>
            <w:tcBorders>
              <w:tl2br w:val="nil"/>
              <w:tr2bl w:val="nil"/>
            </w:tcBorders>
            <w:shd w:val="clear" w:color="auto" w:fill="auto"/>
            <w:vAlign w:val="center"/>
          </w:tcPr>
          <w:p w14:paraId="14DAAD07">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在中华优秀语言文化的研究阐释、教育传承、资源建设等方面成效明显，</w:t>
            </w:r>
            <w:r>
              <w:rPr>
                <w:rFonts w:ascii="Times New Roman" w:hAnsi="Times New Roman" w:eastAsia="仿宋_GB2312" w:cs="Times New Roman"/>
                <w:color w:val="000000"/>
                <w:sz w:val="28"/>
                <w:szCs w:val="28"/>
                <w:lang w:bidi="ar"/>
              </w:rPr>
              <w:t>引导学生深入了解语言文字蕴含的历史文化价值，坚定文化自信</w:t>
            </w:r>
          </w:p>
        </w:tc>
      </w:tr>
      <w:tr w14:paraId="526F5DC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81" w:hRule="atLeast"/>
          <w:jc w:val="center"/>
        </w:trPr>
        <w:tc>
          <w:tcPr>
            <w:tcW w:w="1916" w:type="dxa"/>
            <w:vMerge w:val="continue"/>
            <w:tcBorders>
              <w:tl2br w:val="nil"/>
              <w:tr2bl w:val="nil"/>
            </w:tcBorders>
            <w:shd w:val="clear" w:color="auto" w:fill="auto"/>
            <w:vAlign w:val="center"/>
          </w:tcPr>
          <w:p w14:paraId="649286DA">
            <w:pPr>
              <w:spacing w:line="420" w:lineRule="exact"/>
              <w:rPr>
                <w:rFonts w:ascii="Times New Roman" w:hAnsi="Times New Roman" w:eastAsia="黑体" w:cs="Times New Roman"/>
                <w:bCs/>
                <w:color w:val="000000"/>
                <w:sz w:val="28"/>
                <w:szCs w:val="28"/>
              </w:rPr>
            </w:pPr>
          </w:p>
        </w:tc>
        <w:tc>
          <w:tcPr>
            <w:tcW w:w="1928" w:type="dxa"/>
            <w:tcBorders>
              <w:tl2br w:val="nil"/>
              <w:tr2bl w:val="nil"/>
            </w:tcBorders>
            <w:shd w:val="clear" w:color="auto" w:fill="auto"/>
            <w:vAlign w:val="center"/>
          </w:tcPr>
          <w:p w14:paraId="1924D697">
            <w:pPr>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4.2创新传播</w:t>
            </w:r>
          </w:p>
        </w:tc>
        <w:tc>
          <w:tcPr>
            <w:tcW w:w="5984" w:type="dxa"/>
            <w:tcBorders>
              <w:tl2br w:val="nil"/>
              <w:tr2bl w:val="nil"/>
            </w:tcBorders>
            <w:shd w:val="clear" w:color="auto" w:fill="auto"/>
            <w:vAlign w:val="center"/>
          </w:tcPr>
          <w:p w14:paraId="2D0E95D7">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积极参与中华经典诵读工程等国家语言文化传承发展系列工程，广泛开展中华经典诵、写、讲等活动，传承经典诗文、书法、篆刻、曲艺等优秀语言文化，打造特色品牌。充分利用</w:t>
            </w:r>
            <w:r>
              <w:rPr>
                <w:rFonts w:ascii="Times New Roman" w:hAnsi="Times New Roman" w:eastAsia="仿宋_GB2312" w:cs="Times New Roman"/>
                <w:sz w:val="28"/>
                <w:szCs w:val="28"/>
                <w:lang w:bidi="ar"/>
              </w:rPr>
              <w:t>地域语言文化资源，科学保护各民族语言文字</w:t>
            </w:r>
          </w:p>
        </w:tc>
      </w:tr>
      <w:tr w14:paraId="74701C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9" w:hRule="atLeast"/>
          <w:jc w:val="center"/>
        </w:trPr>
        <w:tc>
          <w:tcPr>
            <w:tcW w:w="1916" w:type="dxa"/>
            <w:vMerge w:val="restart"/>
            <w:tcBorders>
              <w:tl2br w:val="nil"/>
              <w:tr2bl w:val="nil"/>
            </w:tcBorders>
            <w:shd w:val="clear" w:color="auto" w:fill="auto"/>
            <w:vAlign w:val="center"/>
          </w:tcPr>
          <w:p w14:paraId="7A4B9735">
            <w:pPr>
              <w:numPr>
                <w:ilvl w:val="255"/>
                <w:numId w:val="0"/>
              </w:numPr>
              <w:spacing w:line="420" w:lineRule="exact"/>
              <w:rPr>
                <w:rFonts w:ascii="Times New Roman" w:hAnsi="Times New Roman" w:eastAsia="黑体" w:cs="Times New Roman"/>
                <w:bCs/>
                <w:color w:val="000000"/>
                <w:sz w:val="28"/>
                <w:szCs w:val="28"/>
              </w:rPr>
            </w:pPr>
            <w:r>
              <w:rPr>
                <w:rFonts w:ascii="Times New Roman" w:hAnsi="Times New Roman" w:eastAsia="黑体" w:cs="Times New Roman"/>
                <w:bCs/>
                <w:color w:val="000000"/>
                <w:sz w:val="28"/>
                <w:szCs w:val="28"/>
              </w:rPr>
              <w:t>五、合作交流</w:t>
            </w:r>
          </w:p>
        </w:tc>
        <w:tc>
          <w:tcPr>
            <w:tcW w:w="1928" w:type="dxa"/>
            <w:tcBorders>
              <w:tl2br w:val="nil"/>
              <w:tr2bl w:val="nil"/>
            </w:tcBorders>
            <w:shd w:val="clear" w:color="auto" w:fill="auto"/>
            <w:vAlign w:val="center"/>
          </w:tcPr>
          <w:p w14:paraId="243A5311">
            <w:pPr>
              <w:spacing w:line="420" w:lineRule="exact"/>
              <w:jc w:val="center"/>
              <w:rPr>
                <w:rFonts w:ascii="Times New Roman" w:hAnsi="Times New Roman" w:eastAsia="仿宋_GB2312" w:cs="Times New Roman"/>
                <w:b/>
                <w:bCs/>
                <w:color w:val="000000"/>
                <w:sz w:val="28"/>
                <w:szCs w:val="28"/>
              </w:rPr>
            </w:pPr>
            <w:r>
              <w:rPr>
                <w:rFonts w:ascii="Times New Roman" w:hAnsi="Times New Roman" w:eastAsia="楷体_GB2312" w:cs="Times New Roman"/>
                <w:b/>
                <w:bCs/>
                <w:color w:val="000000"/>
                <w:sz w:val="28"/>
                <w:szCs w:val="28"/>
              </w:rPr>
              <w:t>5.1国内合作</w:t>
            </w:r>
          </w:p>
        </w:tc>
        <w:tc>
          <w:tcPr>
            <w:tcW w:w="5984" w:type="dxa"/>
            <w:tcBorders>
              <w:tl2br w:val="nil"/>
              <w:tr2bl w:val="nil"/>
            </w:tcBorders>
            <w:shd w:val="clear" w:color="auto" w:fill="auto"/>
            <w:vAlign w:val="center"/>
          </w:tcPr>
          <w:p w14:paraId="152F6AEA">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开展省际、省域内、校际交流合作，拓展内地与港澳、大陆与台湾的语言文化交流</w:t>
            </w:r>
          </w:p>
        </w:tc>
      </w:tr>
      <w:tr w14:paraId="57D4A8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780" w:hRule="atLeast"/>
          <w:jc w:val="center"/>
        </w:trPr>
        <w:tc>
          <w:tcPr>
            <w:tcW w:w="1916" w:type="dxa"/>
            <w:vMerge w:val="continue"/>
            <w:tcBorders>
              <w:tl2br w:val="nil"/>
              <w:tr2bl w:val="nil"/>
            </w:tcBorders>
            <w:shd w:val="clear" w:color="auto" w:fill="auto"/>
            <w:vAlign w:val="center"/>
          </w:tcPr>
          <w:p w14:paraId="2AB7709B">
            <w:pPr>
              <w:spacing w:line="420" w:lineRule="exact"/>
              <w:rPr>
                <w:rFonts w:ascii="Times New Roman" w:hAnsi="Times New Roman" w:eastAsia="黑体" w:cs="Times New Roman"/>
                <w:bCs/>
                <w:color w:val="000000"/>
                <w:sz w:val="28"/>
                <w:szCs w:val="28"/>
              </w:rPr>
            </w:pPr>
          </w:p>
        </w:tc>
        <w:tc>
          <w:tcPr>
            <w:tcW w:w="1928" w:type="dxa"/>
            <w:tcBorders>
              <w:tl2br w:val="nil"/>
              <w:tr2bl w:val="nil"/>
            </w:tcBorders>
            <w:shd w:val="clear" w:color="auto" w:fill="auto"/>
            <w:vAlign w:val="center"/>
          </w:tcPr>
          <w:p w14:paraId="25A93008">
            <w:pPr>
              <w:spacing w:line="420" w:lineRule="exact"/>
              <w:jc w:val="center"/>
              <w:rPr>
                <w:rFonts w:ascii="Times New Roman" w:hAnsi="Times New Roman" w:eastAsia="楷体_GB2312" w:cs="Times New Roman"/>
                <w:b/>
                <w:bCs/>
                <w:color w:val="000000"/>
                <w:sz w:val="28"/>
                <w:szCs w:val="28"/>
              </w:rPr>
            </w:pPr>
            <w:r>
              <w:rPr>
                <w:rFonts w:ascii="Times New Roman" w:hAnsi="Times New Roman" w:eastAsia="楷体_GB2312" w:cs="Times New Roman"/>
                <w:b/>
                <w:bCs/>
                <w:color w:val="000000"/>
                <w:sz w:val="28"/>
                <w:szCs w:val="28"/>
              </w:rPr>
              <w:t>5.2国际交流</w:t>
            </w:r>
          </w:p>
        </w:tc>
        <w:tc>
          <w:tcPr>
            <w:tcW w:w="5984" w:type="dxa"/>
            <w:tcBorders>
              <w:tl2br w:val="nil"/>
              <w:tr2bl w:val="nil"/>
            </w:tcBorders>
            <w:shd w:val="clear" w:color="auto" w:fill="auto"/>
            <w:vAlign w:val="center"/>
          </w:tcPr>
          <w:p w14:paraId="583842B8">
            <w:pPr>
              <w:spacing w:line="42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创新开展国际中文教育，讲好中国故事、传播好中国声音。立足学校特色和区位优势，加强与国外中小学、高校、研究机构、国际组织的语言文字交流互鉴</w:t>
            </w:r>
          </w:p>
        </w:tc>
      </w:tr>
    </w:tbl>
    <w:p w14:paraId="36C83FAE">
      <w:pPr>
        <w:widowControl/>
        <w:jc w:val="left"/>
        <w:rPr>
          <w:rFonts w:ascii="Times New Roman" w:hAnsi="Times New Roman" w:eastAsia="黑体" w:cs="Times New Roman"/>
          <w:sz w:val="32"/>
          <w:szCs w:val="32"/>
        </w:rPr>
      </w:pPr>
    </w:p>
    <w:sectPr>
      <w:footerReference r:id="rId3" w:type="default"/>
      <w:pgSz w:w="11906" w:h="16838"/>
      <w:pgMar w:top="1984" w:right="1800" w:bottom="1871" w:left="1800" w:header="851" w:footer="153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80977B-7FA6-4008-8081-B6794FEFCE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0A200B8-8123-4F0F-BE00-89555424CB51}"/>
  </w:font>
  <w:font w:name="方正小标宋简体">
    <w:panose1 w:val="03000509000000000000"/>
    <w:charset w:val="86"/>
    <w:family w:val="script"/>
    <w:pitch w:val="default"/>
    <w:sig w:usb0="00000001" w:usb1="080E0000" w:usb2="00000000" w:usb3="00000000" w:csb0="00040000" w:csb1="00000000"/>
    <w:embedRegular r:id="rId3" w:fontKey="{1F0E0EE3-B438-4401-8171-471D8713FFE1}"/>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4" w:fontKey="{D0B0580D-7118-4DAD-AC1B-1C0DCDEFE9EF}"/>
  </w:font>
  <w:font w:name="楷体_GB2312">
    <w:panose1 w:val="02010609030101010101"/>
    <w:charset w:val="86"/>
    <w:family w:val="modern"/>
    <w:pitch w:val="default"/>
    <w:sig w:usb0="00000001" w:usb1="080E0000" w:usb2="00000000" w:usb3="00000000" w:csb0="00040000" w:csb1="00000000"/>
    <w:embedRegular r:id="rId5" w:fontKey="{894B6A65-BB85-421D-9AC1-96DBADF024F6}"/>
  </w:font>
  <w:font w:name="WPSEMBED1">
    <w:panose1 w:val="03000509000000000000"/>
    <w:charset w:val="86"/>
    <w:family w:val="auto"/>
    <w:pitch w:val="default"/>
    <w:sig w:usb0="00000001" w:usb1="080E0000" w:usb2="00000000" w:usb3="00000000" w:csb0="00040000" w:csb1="00000000"/>
  </w:font>
  <w:font w:name="WPSEMBED2">
    <w:panose1 w:val="02010609030101010101"/>
    <w:charset w:val="86"/>
    <w:family w:val="auto"/>
    <w:pitch w:val="default"/>
    <w:sig w:usb0="00000001" w:usb1="080E0000" w:usb2="00000000" w:usb3="00000000" w:csb0="00040000" w:csb1="00000000"/>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93E69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FB17EA">
                          <w:pPr>
                            <w:pStyle w:val="5"/>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18FB17EA">
                    <w:pPr>
                      <w:pStyle w:val="5"/>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FB62C"/>
    <w:multiLevelType w:val="multilevel"/>
    <w:tmpl w:val="DBAFB62C"/>
    <w:lvl w:ilvl="0" w:tentative="0">
      <w:start w:val="1"/>
      <w:numFmt w:val="chineseCountingThousand"/>
      <w:pStyle w:val="2"/>
      <w:suff w:val="space"/>
      <w:lvlText w:val="%1、"/>
      <w:lvlJc w:val="left"/>
      <w:pPr>
        <w:ind w:left="400" w:hanging="40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696"/>
    <w:rsid w:val="006F79A5"/>
    <w:rsid w:val="0085515D"/>
    <w:rsid w:val="00971696"/>
    <w:rsid w:val="00B46918"/>
    <w:rsid w:val="01992CC6"/>
    <w:rsid w:val="019E4ED3"/>
    <w:rsid w:val="02E7319C"/>
    <w:rsid w:val="032064E7"/>
    <w:rsid w:val="0327776F"/>
    <w:rsid w:val="033C2BF5"/>
    <w:rsid w:val="04A03941"/>
    <w:rsid w:val="04E062EB"/>
    <w:rsid w:val="05BE7DCF"/>
    <w:rsid w:val="06941622"/>
    <w:rsid w:val="06C3547C"/>
    <w:rsid w:val="07A6139B"/>
    <w:rsid w:val="07AB0349"/>
    <w:rsid w:val="07FE32F6"/>
    <w:rsid w:val="08591B53"/>
    <w:rsid w:val="090F785D"/>
    <w:rsid w:val="099C20BF"/>
    <w:rsid w:val="09C03F0D"/>
    <w:rsid w:val="0A1928DC"/>
    <w:rsid w:val="0A892BC4"/>
    <w:rsid w:val="0BAE4B62"/>
    <w:rsid w:val="0C22747E"/>
    <w:rsid w:val="0C7D5615"/>
    <w:rsid w:val="0C9B273A"/>
    <w:rsid w:val="0CE224AA"/>
    <w:rsid w:val="0E0B1B42"/>
    <w:rsid w:val="0ED30327"/>
    <w:rsid w:val="0FF26B15"/>
    <w:rsid w:val="101A1B85"/>
    <w:rsid w:val="103F3D25"/>
    <w:rsid w:val="104801C3"/>
    <w:rsid w:val="105314AC"/>
    <w:rsid w:val="1055481F"/>
    <w:rsid w:val="10B95885"/>
    <w:rsid w:val="113D236A"/>
    <w:rsid w:val="118916FB"/>
    <w:rsid w:val="123553DF"/>
    <w:rsid w:val="126857B5"/>
    <w:rsid w:val="13F13588"/>
    <w:rsid w:val="141674C2"/>
    <w:rsid w:val="142358E9"/>
    <w:rsid w:val="145853B5"/>
    <w:rsid w:val="147A532B"/>
    <w:rsid w:val="14AD74AF"/>
    <w:rsid w:val="14BC3B96"/>
    <w:rsid w:val="15100CEF"/>
    <w:rsid w:val="15282FD9"/>
    <w:rsid w:val="163E2DAF"/>
    <w:rsid w:val="165A3666"/>
    <w:rsid w:val="173D7210"/>
    <w:rsid w:val="17500A00"/>
    <w:rsid w:val="18552337"/>
    <w:rsid w:val="188F1F4F"/>
    <w:rsid w:val="19AE504F"/>
    <w:rsid w:val="19C73B24"/>
    <w:rsid w:val="19C86FE9"/>
    <w:rsid w:val="19CF0DB1"/>
    <w:rsid w:val="19DD25E4"/>
    <w:rsid w:val="1A085187"/>
    <w:rsid w:val="1A0A11CB"/>
    <w:rsid w:val="1A0B2804"/>
    <w:rsid w:val="1BAA299A"/>
    <w:rsid w:val="1C112A19"/>
    <w:rsid w:val="1C480313"/>
    <w:rsid w:val="1CD972E2"/>
    <w:rsid w:val="1D83086A"/>
    <w:rsid w:val="1DB70263"/>
    <w:rsid w:val="1DC51D0D"/>
    <w:rsid w:val="1DE25A26"/>
    <w:rsid w:val="1E9E60BA"/>
    <w:rsid w:val="1F3D58D3"/>
    <w:rsid w:val="1F43738D"/>
    <w:rsid w:val="1F8B4890"/>
    <w:rsid w:val="1F8B49DF"/>
    <w:rsid w:val="1FB553AC"/>
    <w:rsid w:val="1FF2307B"/>
    <w:rsid w:val="20D364EF"/>
    <w:rsid w:val="20ED0179"/>
    <w:rsid w:val="21472A39"/>
    <w:rsid w:val="218613B6"/>
    <w:rsid w:val="21B74946"/>
    <w:rsid w:val="228E694F"/>
    <w:rsid w:val="230E7719"/>
    <w:rsid w:val="233A4603"/>
    <w:rsid w:val="23450952"/>
    <w:rsid w:val="23694EE9"/>
    <w:rsid w:val="238364F0"/>
    <w:rsid w:val="238C0BD7"/>
    <w:rsid w:val="2456431D"/>
    <w:rsid w:val="24C774F3"/>
    <w:rsid w:val="24EA3E07"/>
    <w:rsid w:val="250B3205"/>
    <w:rsid w:val="253E1F4B"/>
    <w:rsid w:val="253E7ACA"/>
    <w:rsid w:val="254F2E38"/>
    <w:rsid w:val="25FC7CEE"/>
    <w:rsid w:val="26106FBE"/>
    <w:rsid w:val="2686306E"/>
    <w:rsid w:val="26972731"/>
    <w:rsid w:val="277967B6"/>
    <w:rsid w:val="27DA0163"/>
    <w:rsid w:val="2830166B"/>
    <w:rsid w:val="2851157B"/>
    <w:rsid w:val="28795BCE"/>
    <w:rsid w:val="28D5364D"/>
    <w:rsid w:val="28D9666D"/>
    <w:rsid w:val="28E167C3"/>
    <w:rsid w:val="29C04910"/>
    <w:rsid w:val="2A12417D"/>
    <w:rsid w:val="2AC31382"/>
    <w:rsid w:val="2AD63318"/>
    <w:rsid w:val="2AEF03C9"/>
    <w:rsid w:val="2B2C517A"/>
    <w:rsid w:val="2B4F2C16"/>
    <w:rsid w:val="2B703EF5"/>
    <w:rsid w:val="2BA32D9D"/>
    <w:rsid w:val="2C1B5102"/>
    <w:rsid w:val="2C7F752B"/>
    <w:rsid w:val="2E0B376C"/>
    <w:rsid w:val="2FC52E1D"/>
    <w:rsid w:val="30487FFC"/>
    <w:rsid w:val="309D4424"/>
    <w:rsid w:val="30FC4BAD"/>
    <w:rsid w:val="318D31E8"/>
    <w:rsid w:val="31E95189"/>
    <w:rsid w:val="32454D73"/>
    <w:rsid w:val="32764F2C"/>
    <w:rsid w:val="32AA2E28"/>
    <w:rsid w:val="32BD6FFF"/>
    <w:rsid w:val="332D1A0E"/>
    <w:rsid w:val="33516B27"/>
    <w:rsid w:val="338B7808"/>
    <w:rsid w:val="34091F19"/>
    <w:rsid w:val="340C7BEA"/>
    <w:rsid w:val="343926B5"/>
    <w:rsid w:val="34DD5737"/>
    <w:rsid w:val="34E02B31"/>
    <w:rsid w:val="35351167"/>
    <w:rsid w:val="35643762"/>
    <w:rsid w:val="35CC3135"/>
    <w:rsid w:val="367F418E"/>
    <w:rsid w:val="36D56AA1"/>
    <w:rsid w:val="37985945"/>
    <w:rsid w:val="381C6BD2"/>
    <w:rsid w:val="385E4DF2"/>
    <w:rsid w:val="38653A79"/>
    <w:rsid w:val="38B77EF1"/>
    <w:rsid w:val="38EC0C14"/>
    <w:rsid w:val="39365415"/>
    <w:rsid w:val="39543E64"/>
    <w:rsid w:val="398B44FF"/>
    <w:rsid w:val="39DA3FF3"/>
    <w:rsid w:val="3A4570F3"/>
    <w:rsid w:val="3AA840F1"/>
    <w:rsid w:val="3B467F65"/>
    <w:rsid w:val="3BA16071"/>
    <w:rsid w:val="3C12011B"/>
    <w:rsid w:val="3C237ED3"/>
    <w:rsid w:val="3C293935"/>
    <w:rsid w:val="3CA3103C"/>
    <w:rsid w:val="3CF66C13"/>
    <w:rsid w:val="3D6B1DBF"/>
    <w:rsid w:val="3D9A41C5"/>
    <w:rsid w:val="3DFC6C2D"/>
    <w:rsid w:val="3E0E59CA"/>
    <w:rsid w:val="3E1F0B6E"/>
    <w:rsid w:val="3F9E5AC2"/>
    <w:rsid w:val="3FF658FE"/>
    <w:rsid w:val="40414DCB"/>
    <w:rsid w:val="408A60F6"/>
    <w:rsid w:val="40D53766"/>
    <w:rsid w:val="41356D45"/>
    <w:rsid w:val="415B5B99"/>
    <w:rsid w:val="42207469"/>
    <w:rsid w:val="42D82436"/>
    <w:rsid w:val="435766B4"/>
    <w:rsid w:val="438356FB"/>
    <w:rsid w:val="43EF2D90"/>
    <w:rsid w:val="43F10CA6"/>
    <w:rsid w:val="440B1145"/>
    <w:rsid w:val="440F57FD"/>
    <w:rsid w:val="44763C20"/>
    <w:rsid w:val="452627E2"/>
    <w:rsid w:val="457A06C6"/>
    <w:rsid w:val="457C3B24"/>
    <w:rsid w:val="465F594F"/>
    <w:rsid w:val="46761547"/>
    <w:rsid w:val="46DD529E"/>
    <w:rsid w:val="47215957"/>
    <w:rsid w:val="47F24BFD"/>
    <w:rsid w:val="490000F9"/>
    <w:rsid w:val="49DE18DD"/>
    <w:rsid w:val="4A217738"/>
    <w:rsid w:val="4A2F399F"/>
    <w:rsid w:val="4AD7381F"/>
    <w:rsid w:val="4B910379"/>
    <w:rsid w:val="4BF136E1"/>
    <w:rsid w:val="4CE114E8"/>
    <w:rsid w:val="4D1A2C2C"/>
    <w:rsid w:val="4E543788"/>
    <w:rsid w:val="4F2339F5"/>
    <w:rsid w:val="4F3A75B6"/>
    <w:rsid w:val="4F6B3C13"/>
    <w:rsid w:val="4FDC241B"/>
    <w:rsid w:val="5039786D"/>
    <w:rsid w:val="504D56E9"/>
    <w:rsid w:val="506862B5"/>
    <w:rsid w:val="50ED2406"/>
    <w:rsid w:val="522105B9"/>
    <w:rsid w:val="528A0854"/>
    <w:rsid w:val="52C83154"/>
    <w:rsid w:val="53734D8E"/>
    <w:rsid w:val="53D65949"/>
    <w:rsid w:val="543E18F6"/>
    <w:rsid w:val="549C661D"/>
    <w:rsid w:val="550A7A2A"/>
    <w:rsid w:val="55AA6172"/>
    <w:rsid w:val="55AC2DA2"/>
    <w:rsid w:val="55AE21B4"/>
    <w:rsid w:val="55CC1E2C"/>
    <w:rsid w:val="55FF3307"/>
    <w:rsid w:val="562A38CE"/>
    <w:rsid w:val="56350ABF"/>
    <w:rsid w:val="56772E9D"/>
    <w:rsid w:val="56B57E6A"/>
    <w:rsid w:val="570B57EA"/>
    <w:rsid w:val="571E0D4F"/>
    <w:rsid w:val="57347BDD"/>
    <w:rsid w:val="589F492D"/>
    <w:rsid w:val="58DF68AD"/>
    <w:rsid w:val="592B2365"/>
    <w:rsid w:val="5A2570B4"/>
    <w:rsid w:val="5A7D586E"/>
    <w:rsid w:val="5AE008CE"/>
    <w:rsid w:val="5B4F556C"/>
    <w:rsid w:val="5C5619C5"/>
    <w:rsid w:val="5CE648D9"/>
    <w:rsid w:val="5D1E3500"/>
    <w:rsid w:val="5D2B49E2"/>
    <w:rsid w:val="5D711E15"/>
    <w:rsid w:val="5DD21301"/>
    <w:rsid w:val="5E370D27"/>
    <w:rsid w:val="5E8A1CDF"/>
    <w:rsid w:val="5EE949D8"/>
    <w:rsid w:val="5F2F7CCF"/>
    <w:rsid w:val="5F715EE0"/>
    <w:rsid w:val="5F724B4A"/>
    <w:rsid w:val="60A67819"/>
    <w:rsid w:val="61243C22"/>
    <w:rsid w:val="613F280A"/>
    <w:rsid w:val="624338F4"/>
    <w:rsid w:val="628A080D"/>
    <w:rsid w:val="63A033B8"/>
    <w:rsid w:val="63F773CC"/>
    <w:rsid w:val="64914748"/>
    <w:rsid w:val="64C336D8"/>
    <w:rsid w:val="65363F24"/>
    <w:rsid w:val="65456B9B"/>
    <w:rsid w:val="66B55E4F"/>
    <w:rsid w:val="66B7466B"/>
    <w:rsid w:val="66F75934"/>
    <w:rsid w:val="672A7AB8"/>
    <w:rsid w:val="672E75A8"/>
    <w:rsid w:val="67346B89"/>
    <w:rsid w:val="6793565D"/>
    <w:rsid w:val="679C6C08"/>
    <w:rsid w:val="67D143D7"/>
    <w:rsid w:val="67E1601C"/>
    <w:rsid w:val="68882EC5"/>
    <w:rsid w:val="68F71C1C"/>
    <w:rsid w:val="69382960"/>
    <w:rsid w:val="69C70C96"/>
    <w:rsid w:val="6A1F1351"/>
    <w:rsid w:val="6B026C91"/>
    <w:rsid w:val="6B626302"/>
    <w:rsid w:val="6B6C68F1"/>
    <w:rsid w:val="6B940E3C"/>
    <w:rsid w:val="6BCC7CD9"/>
    <w:rsid w:val="6D3F4E4D"/>
    <w:rsid w:val="6E005A16"/>
    <w:rsid w:val="6E1F2194"/>
    <w:rsid w:val="6EDB0A02"/>
    <w:rsid w:val="6EE60768"/>
    <w:rsid w:val="6EF72976"/>
    <w:rsid w:val="6F116D78"/>
    <w:rsid w:val="6FB1521A"/>
    <w:rsid w:val="700C4128"/>
    <w:rsid w:val="7036127C"/>
    <w:rsid w:val="703A7967"/>
    <w:rsid w:val="705F47A7"/>
    <w:rsid w:val="70AB2117"/>
    <w:rsid w:val="70FC67DE"/>
    <w:rsid w:val="71724535"/>
    <w:rsid w:val="71754026"/>
    <w:rsid w:val="717958C4"/>
    <w:rsid w:val="726F4F19"/>
    <w:rsid w:val="72D24B9D"/>
    <w:rsid w:val="72D60D42"/>
    <w:rsid w:val="732C44ED"/>
    <w:rsid w:val="73403CA2"/>
    <w:rsid w:val="734239AE"/>
    <w:rsid w:val="735F6D3B"/>
    <w:rsid w:val="73A2337E"/>
    <w:rsid w:val="745B5755"/>
    <w:rsid w:val="74FF37C3"/>
    <w:rsid w:val="75736ACE"/>
    <w:rsid w:val="75B31843"/>
    <w:rsid w:val="75BE243F"/>
    <w:rsid w:val="75C314AC"/>
    <w:rsid w:val="75E874BC"/>
    <w:rsid w:val="76A07D97"/>
    <w:rsid w:val="77192FB2"/>
    <w:rsid w:val="774B64D8"/>
    <w:rsid w:val="77BC2E75"/>
    <w:rsid w:val="77C03844"/>
    <w:rsid w:val="77D255BC"/>
    <w:rsid w:val="77E95123"/>
    <w:rsid w:val="785909A0"/>
    <w:rsid w:val="78AA0CA7"/>
    <w:rsid w:val="78FF79CF"/>
    <w:rsid w:val="79D23B5A"/>
    <w:rsid w:val="7A6D1D3E"/>
    <w:rsid w:val="7A770FFA"/>
    <w:rsid w:val="7AD97AED"/>
    <w:rsid w:val="7B5915BC"/>
    <w:rsid w:val="7BF743B5"/>
    <w:rsid w:val="7C1903CF"/>
    <w:rsid w:val="7C366DCB"/>
    <w:rsid w:val="7C6E488D"/>
    <w:rsid w:val="7C855A45"/>
    <w:rsid w:val="7C954090"/>
    <w:rsid w:val="7C98391B"/>
    <w:rsid w:val="7CD04806"/>
    <w:rsid w:val="7CED1E1E"/>
    <w:rsid w:val="7D052701"/>
    <w:rsid w:val="7D0C7F34"/>
    <w:rsid w:val="7D6531A0"/>
    <w:rsid w:val="7F007624"/>
    <w:rsid w:val="7F047DB3"/>
    <w:rsid w:val="7F9B7C30"/>
    <w:rsid w:val="EFF7F5C5"/>
    <w:rsid w:val="FDBF8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numPr>
        <w:ilvl w:val="0"/>
        <w:numId w:val="1"/>
      </w:numPr>
      <w:ind w:left="0" w:firstLine="643"/>
      <w:jc w:val="left"/>
      <w:outlineLvl w:val="0"/>
    </w:pPr>
    <w:rPr>
      <w:rFonts w:ascii="方正小标宋简体" w:hAnsi="方正小标宋简体" w:eastAsia="黑体" w:cs="方正小标宋简体"/>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2"/>
    <w:next w:val="1"/>
    <w:qFormat/>
    <w:uiPriority w:val="0"/>
    <w:pPr>
      <w:numPr>
        <w:numId w:val="0"/>
      </w:numPr>
      <w:spacing w:line="600" w:lineRule="exact"/>
      <w:ind w:left="-640" w:leftChars="-200"/>
      <w:jc w:val="center"/>
      <w:outlineLvl w:val="9"/>
    </w:pPr>
    <w:rPr>
      <w:rFonts w:eastAsia="方正小标宋简体"/>
      <w:sz w:val="4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bCs/>
    </w:rPr>
  </w:style>
  <w:style w:type="character" w:styleId="13">
    <w:name w:val="page number"/>
    <w:basedOn w:val="11"/>
    <w:qFormat/>
    <w:uiPriority w:val="0"/>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1686</Words>
  <Characters>1718</Characters>
  <Lines>12</Lines>
  <Paragraphs>3</Paragraphs>
  <TotalTime>0</TotalTime>
  <ScaleCrop>false</ScaleCrop>
  <LinksUpToDate>false</LinksUpToDate>
  <CharactersWithSpaces>1718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2025-11-13T06:09:00Z</dcterms:created>
  <dc:creator>zhuho</dc:creator>
  <cp:lastModifiedBy>指点前程人事</cp:lastModifiedBy>
  <cp:lastPrinted>2025-09-15T12:52:00Z</cp:lastPrinted>
  <dcterms:modified xsi:type="dcterms:W3CDTF">2025-11-19T01:08:24Z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eyJoZGlkIjoiODNkNThhNGNlNWFjYjIwZDhmNDM5OTU5NmM2NjE1YmQiLCJ1c2VySWQiOiI0MTQ2NjIxNzUifQ==</vt:lpwstr>
  </property>
  <property fmtid="{D5CDD505-2E9C-101B-9397-08002B2CF9AE}" pid="4" name="ICV">
    <vt:lpwstr>57C49EEB0A894F65A291D0BDB3082E84_13</vt:lpwstr>
  </property>
</Properties>
</file>